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0A" w:rsidRPr="007F5526" w:rsidRDefault="00CF010A" w:rsidP="00CF010A">
      <w:pPr>
        <w:jc w:val="center"/>
        <w:rPr>
          <w:b/>
        </w:rPr>
      </w:pPr>
      <w:r w:rsidRPr="007F5526">
        <w:rPr>
          <w:b/>
        </w:rPr>
        <w:t>Prawo Unii Europejskiej</w:t>
      </w:r>
      <w:r w:rsidR="00FB326F">
        <w:rPr>
          <w:b/>
        </w:rPr>
        <w:t>- Ćwiczenia</w:t>
      </w:r>
    </w:p>
    <w:p w:rsidR="00CF010A" w:rsidRPr="007F5526" w:rsidRDefault="00CF010A" w:rsidP="00CF010A">
      <w:pPr>
        <w:jc w:val="center"/>
        <w:rPr>
          <w:b/>
        </w:rPr>
      </w:pPr>
      <w:r w:rsidRPr="007F5526">
        <w:rPr>
          <w:b/>
        </w:rPr>
        <w:t>20</w:t>
      </w:r>
      <w:r w:rsidR="00EE08A6">
        <w:rPr>
          <w:b/>
        </w:rPr>
        <w:t>2</w:t>
      </w:r>
      <w:r w:rsidR="00AB2F2D">
        <w:rPr>
          <w:b/>
        </w:rPr>
        <w:t>2</w:t>
      </w:r>
      <w:r w:rsidRPr="007F5526">
        <w:rPr>
          <w:b/>
        </w:rPr>
        <w:t>/20</w:t>
      </w:r>
      <w:r w:rsidR="00EE08A6">
        <w:rPr>
          <w:b/>
        </w:rPr>
        <w:t>2</w:t>
      </w:r>
      <w:r w:rsidR="00AB2F2D">
        <w:rPr>
          <w:b/>
        </w:rPr>
        <w:t>3</w:t>
      </w:r>
    </w:p>
    <w:p w:rsidR="00CF010A" w:rsidRPr="007F5526" w:rsidRDefault="00AB2F2D" w:rsidP="00CF010A">
      <w:pPr>
        <w:jc w:val="center"/>
        <w:rPr>
          <w:b/>
        </w:rPr>
      </w:pPr>
      <w:r>
        <w:rPr>
          <w:b/>
        </w:rPr>
        <w:t>Karta przedmiotu</w:t>
      </w:r>
      <w:r w:rsidR="00CF010A" w:rsidRPr="007F5526">
        <w:rPr>
          <w:b/>
        </w:rPr>
        <w:t xml:space="preserve"> </w:t>
      </w:r>
    </w:p>
    <w:p w:rsidR="00CF010A" w:rsidRPr="007F5526" w:rsidRDefault="00CF010A" w:rsidP="00CF010A">
      <w:pPr>
        <w:jc w:val="both"/>
      </w:pPr>
    </w:p>
    <w:tbl>
      <w:tblPr>
        <w:tblW w:w="9273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240"/>
        <w:gridCol w:w="6561"/>
      </w:tblGrid>
      <w:tr w:rsidR="00CF010A" w:rsidRPr="007F5526" w:rsidTr="009C5911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10A" w:rsidRPr="007F5526" w:rsidRDefault="00CF010A" w:rsidP="002A3B8F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10A" w:rsidRPr="007F5526" w:rsidRDefault="00CF010A" w:rsidP="002A3B8F">
            <w:pPr>
              <w:pStyle w:val="Nagwek1"/>
              <w:snapToGrid w:val="0"/>
              <w:spacing w:line="200" w:lineRule="atLeast"/>
              <w:rPr>
                <w:lang w:val="pl-PL"/>
              </w:rPr>
            </w:pPr>
            <w:r w:rsidRPr="007F5526">
              <w:rPr>
                <w:lang w:val="pl-PL"/>
              </w:rPr>
              <w:t>Data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10A" w:rsidRPr="007F5526" w:rsidRDefault="00CF010A" w:rsidP="002A3B8F">
            <w:pPr>
              <w:pStyle w:val="Nagwek1"/>
              <w:snapToGrid w:val="0"/>
              <w:ind w:left="0"/>
              <w:rPr>
                <w:lang w:val="pl-PL"/>
              </w:rPr>
            </w:pPr>
            <w:r w:rsidRPr="007F5526">
              <w:rPr>
                <w:lang w:val="pl-PL"/>
              </w:rPr>
              <w:t>Temat zajęć</w:t>
            </w:r>
          </w:p>
        </w:tc>
      </w:tr>
      <w:tr w:rsidR="002C6C60" w:rsidRPr="007F5526" w:rsidTr="009C5911">
        <w:trPr>
          <w:trHeight w:val="303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2023-02-22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2023-02-23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Zajęcia organizacyjne</w:t>
            </w:r>
            <w:r w:rsidR="0084140F">
              <w:t>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2023-03-01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2023-03-02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 xml:space="preserve">Zasady UE. Uwagi </w:t>
            </w:r>
            <w:r w:rsidR="000630BB">
              <w:t>o</w:t>
            </w:r>
            <w:r w:rsidRPr="00FB326F">
              <w:t>gólne. Kompetencje powierzone i zasady demokratyczne</w:t>
            </w:r>
            <w:r w:rsidR="0084140F">
              <w:t>.</w:t>
            </w:r>
          </w:p>
        </w:tc>
      </w:tr>
      <w:tr w:rsidR="002C6C60" w:rsidRPr="00EE4E0C" w:rsidTr="004D0B26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60" w:rsidRPr="00EE4E0C" w:rsidRDefault="002C6C60" w:rsidP="00FB326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2023-03-08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2023-03-09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Charakter prawa UE. Zasady stosowania prawa Unii.</w:t>
            </w:r>
          </w:p>
        </w:tc>
      </w:tr>
      <w:tr w:rsidR="002C6C60" w:rsidRPr="000630BB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D21AD4" w:rsidP="00D21A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2C6C60" w:rsidRPr="00F026FE">
              <w:rPr>
                <w:color w:val="000000"/>
              </w:rPr>
              <w:t>2023-03-15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2023-03-16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D21AD4">
            <w:pPr>
              <w:rPr>
                <w:lang w:val="en-GB"/>
              </w:rPr>
            </w:pPr>
            <w:r w:rsidRPr="00FB326F">
              <w:t xml:space="preserve">Charakter prawa UE. </w:t>
            </w:r>
            <w:proofErr w:type="spellStart"/>
            <w:r w:rsidRPr="000630BB">
              <w:rPr>
                <w:lang w:val="en-GB"/>
              </w:rPr>
              <w:t>Orzecze</w:t>
            </w:r>
            <w:r w:rsidRPr="00FB326F">
              <w:rPr>
                <w:lang w:val="en-GB"/>
              </w:rPr>
              <w:t>nia</w:t>
            </w:r>
            <w:proofErr w:type="spellEnd"/>
            <w:r w:rsidRPr="00FB326F">
              <w:rPr>
                <w:lang w:val="en-GB"/>
              </w:rPr>
              <w:t xml:space="preserve">: </w:t>
            </w:r>
            <w:r w:rsidRPr="00FB326F">
              <w:rPr>
                <w:lang w:val="de-DE"/>
              </w:rPr>
              <w:t xml:space="preserve">26/62 Van </w:t>
            </w:r>
            <w:proofErr w:type="spellStart"/>
            <w:r w:rsidRPr="00FB326F">
              <w:rPr>
                <w:lang w:val="de-DE"/>
              </w:rPr>
              <w:t>Gend</w:t>
            </w:r>
            <w:proofErr w:type="spellEnd"/>
            <w:r w:rsidRPr="00FB326F">
              <w:rPr>
                <w:lang w:val="de-DE"/>
              </w:rPr>
              <w:t xml:space="preserve"> &amp; Loos, 6/64 Costa v. ENEL, 06/77 </w:t>
            </w:r>
            <w:proofErr w:type="spellStart"/>
            <w:r w:rsidRPr="00FB326F">
              <w:rPr>
                <w:lang w:val="de-DE"/>
              </w:rPr>
              <w:t>Simmenthal</w:t>
            </w:r>
            <w:proofErr w:type="spellEnd"/>
            <w:r w:rsidRPr="00FB326F">
              <w:rPr>
                <w:lang w:val="de-DE"/>
              </w:rPr>
              <w:t xml:space="preserve">,  </w:t>
            </w:r>
            <w:r w:rsidRPr="00FB326F">
              <w:rPr>
                <w:lang w:val="en-GB"/>
              </w:rPr>
              <w:t xml:space="preserve">C-6/90 </w:t>
            </w:r>
            <w:proofErr w:type="spellStart"/>
            <w:r w:rsidRPr="00FB326F">
              <w:rPr>
                <w:lang w:val="en-GB"/>
              </w:rPr>
              <w:t>i</w:t>
            </w:r>
            <w:proofErr w:type="spellEnd"/>
            <w:r w:rsidRPr="00FB326F">
              <w:rPr>
                <w:lang w:val="en-GB"/>
              </w:rPr>
              <w:t xml:space="preserve"> C-9/90 </w:t>
            </w:r>
            <w:proofErr w:type="spellStart"/>
            <w:r w:rsidRPr="00FB326F">
              <w:rPr>
                <w:lang w:val="en-GB"/>
              </w:rPr>
              <w:t>Francovich</w:t>
            </w:r>
            <w:proofErr w:type="spellEnd"/>
            <w:r w:rsidRPr="00FB326F">
              <w:rPr>
                <w:lang w:val="en-GB"/>
              </w:rPr>
              <w:t xml:space="preserve"> </w:t>
            </w:r>
            <w:proofErr w:type="spellStart"/>
            <w:r w:rsidRPr="00FB326F">
              <w:rPr>
                <w:lang w:val="en-GB"/>
              </w:rPr>
              <w:t>i</w:t>
            </w:r>
            <w:proofErr w:type="spellEnd"/>
            <w:r w:rsidRPr="00FB326F">
              <w:rPr>
                <w:lang w:val="en-GB"/>
              </w:rPr>
              <w:t xml:space="preserve"> </w:t>
            </w:r>
            <w:proofErr w:type="spellStart"/>
            <w:r w:rsidRPr="00FB326F">
              <w:rPr>
                <w:lang w:val="en-GB"/>
              </w:rPr>
              <w:t>Bonifaci</w:t>
            </w:r>
            <w:proofErr w:type="spellEnd"/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2023-03-22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2023-03-23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Źródła prawa</w:t>
            </w:r>
            <w:r w:rsidR="0084140F">
              <w:t>. Rozporządzenia, dyrektywy i decyzje.</w:t>
            </w:r>
          </w:p>
        </w:tc>
      </w:tr>
      <w:tr w:rsidR="002C6C60" w:rsidRPr="0084140F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2023-03-29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2023-03-30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0E376D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Europejska Inicjatywa O</w:t>
            </w:r>
            <w:bookmarkStart w:id="0" w:name="_GoBack"/>
            <w:bookmarkEnd w:id="0"/>
            <w:r w:rsidR="002C6C60" w:rsidRPr="00FB326F">
              <w:t>bywatelska</w:t>
            </w:r>
            <w:r w:rsidR="0084140F">
              <w:t>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2023-04-12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2023-04-13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Procedury decyzyjne</w:t>
            </w:r>
            <w:r w:rsidR="00FB326F">
              <w:t>. Procedury ustawodawcze.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b/>
                <w:color w:val="000000"/>
              </w:rPr>
            </w:pPr>
            <w:r w:rsidRPr="00F026FE">
              <w:rPr>
                <w:b/>
                <w:color w:val="000000"/>
              </w:rPr>
              <w:t>2023-04-19</w:t>
            </w:r>
          </w:p>
          <w:p w:rsidR="002C6C60" w:rsidRPr="00F026FE" w:rsidRDefault="00FB326F" w:rsidP="00D21AD4">
            <w:pPr>
              <w:jc w:val="center"/>
              <w:rPr>
                <w:b/>
                <w:color w:val="000000"/>
              </w:rPr>
            </w:pPr>
            <w:r w:rsidRPr="00FB326F">
              <w:rPr>
                <w:b/>
                <w:color w:val="000000"/>
              </w:rPr>
              <w:t>(na wykładzie)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B326F">
              <w:rPr>
                <w:b/>
              </w:rPr>
              <w:t>Kolokwium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2023-04-26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2023-04-27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84140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Rada Unii Europejskiej</w:t>
            </w:r>
            <w:r w:rsidR="0084140F">
              <w:t>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</w:pPr>
            <w:r w:rsidRPr="00F026FE">
              <w:rPr>
                <w:color w:val="000000"/>
              </w:rPr>
              <w:t>2023-05-10</w:t>
            </w:r>
            <w:r w:rsidRPr="00F026FE">
              <w:t xml:space="preserve"> 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2023-05-04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Rada Europejska</w:t>
            </w:r>
            <w:r w:rsidR="0084140F">
              <w:t>.</w:t>
            </w:r>
          </w:p>
        </w:tc>
      </w:tr>
      <w:tr w:rsidR="002C6C60" w:rsidRPr="0063222E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2023-05-17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2023-05-11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Komisja Europejska</w:t>
            </w:r>
            <w:r w:rsidR="0084140F">
              <w:t>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2023-05-24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2023-05-18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Parlament Europejski</w:t>
            </w:r>
            <w:r w:rsidR="0084140F">
              <w:t>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 w:rsidRPr="007F5526">
              <w:t>13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2023-05-31</w:t>
            </w:r>
          </w:p>
          <w:p w:rsidR="002C6C60" w:rsidRPr="00F026FE" w:rsidRDefault="002C6C60" w:rsidP="00FB326F">
            <w:pPr>
              <w:jc w:val="center"/>
              <w:rPr>
                <w:color w:val="000000"/>
              </w:rPr>
            </w:pPr>
            <w:r w:rsidRPr="00FB326F">
              <w:rPr>
                <w:color w:val="000000"/>
              </w:rPr>
              <w:t>2023-05-25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TSUE- struktura organizacyjna</w:t>
            </w:r>
            <w:r w:rsidR="0084140F">
              <w:t>.</w:t>
            </w: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 w:rsidRPr="007F5526">
              <w:t>14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jc w:val="center"/>
              <w:rPr>
                <w:b/>
                <w:color w:val="000000"/>
              </w:rPr>
            </w:pPr>
            <w:r w:rsidRPr="00F026FE">
              <w:rPr>
                <w:b/>
                <w:color w:val="000000"/>
              </w:rPr>
              <w:t>2023-06-07</w:t>
            </w:r>
          </w:p>
          <w:p w:rsidR="002C6C60" w:rsidRPr="00F026FE" w:rsidRDefault="00FB326F" w:rsidP="00D21AD4">
            <w:pPr>
              <w:jc w:val="center"/>
              <w:rPr>
                <w:b/>
                <w:color w:val="000000"/>
              </w:rPr>
            </w:pPr>
            <w:r w:rsidRPr="00FB326F">
              <w:rPr>
                <w:b/>
                <w:color w:val="000000"/>
              </w:rPr>
              <w:t>(na wykładzie)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6F" w:rsidRPr="00FB326F" w:rsidRDefault="00FB326F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B326F">
              <w:rPr>
                <w:b/>
              </w:rPr>
              <w:t>Kolokwium</w:t>
            </w:r>
          </w:p>
          <w:p w:rsidR="002C6C60" w:rsidRPr="00FB326F" w:rsidRDefault="002C6C60" w:rsidP="00FB326F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b/>
              </w:rPr>
            </w:pPr>
          </w:p>
        </w:tc>
      </w:tr>
      <w:tr w:rsidR="002C6C60" w:rsidRPr="007F5526" w:rsidTr="009C5911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0" w:rsidRPr="007F5526" w:rsidRDefault="002C6C60" w:rsidP="00FB326F">
            <w:pPr>
              <w:snapToGrid w:val="0"/>
              <w:jc w:val="center"/>
            </w:pPr>
            <w:r w:rsidRPr="007F5526">
              <w:t>15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C60" w:rsidRPr="00FB326F" w:rsidRDefault="002C6C60" w:rsidP="00FB326F">
            <w:pPr>
              <w:spacing w:after="75"/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2023-06-14</w:t>
            </w:r>
          </w:p>
          <w:p w:rsidR="002C6C60" w:rsidRPr="00F026FE" w:rsidRDefault="00FB326F" w:rsidP="00FB326F">
            <w:pPr>
              <w:spacing w:after="75"/>
              <w:jc w:val="center"/>
              <w:rPr>
                <w:color w:val="000000"/>
              </w:rPr>
            </w:pPr>
            <w:r w:rsidRPr="00F026FE">
              <w:rPr>
                <w:color w:val="000000"/>
              </w:rPr>
              <w:t>2023-06-1</w:t>
            </w:r>
            <w:r w:rsidRPr="00FB326F">
              <w:rPr>
                <w:color w:val="000000"/>
              </w:rPr>
              <w:t>5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60" w:rsidRPr="00FB326F" w:rsidRDefault="00FB326F" w:rsidP="00FB32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B326F">
              <w:t>Zaliczenie zajęć</w:t>
            </w:r>
            <w:r w:rsidR="0084140F">
              <w:t>.</w:t>
            </w:r>
          </w:p>
        </w:tc>
      </w:tr>
    </w:tbl>
    <w:p w:rsidR="00CF010A" w:rsidRPr="007F5526" w:rsidRDefault="00CF010A" w:rsidP="00CF010A">
      <w:pPr>
        <w:rPr>
          <w:b/>
          <w:bCs/>
          <w:caps/>
        </w:rPr>
      </w:pPr>
    </w:p>
    <w:p w:rsidR="00266517" w:rsidRDefault="00266517" w:rsidP="00CF010A">
      <w:pPr>
        <w:rPr>
          <w:b/>
          <w:bCs/>
        </w:rPr>
      </w:pPr>
      <w:r>
        <w:rPr>
          <w:b/>
          <w:bCs/>
        </w:rPr>
        <w:t>Literatura i źródła prawa</w:t>
      </w:r>
    </w:p>
    <w:p w:rsidR="00CF010A" w:rsidRPr="007F5526" w:rsidRDefault="00266517" w:rsidP="00CF010A">
      <w:pPr>
        <w:rPr>
          <w:b/>
          <w:bCs/>
        </w:rPr>
      </w:pPr>
      <w:r>
        <w:rPr>
          <w:b/>
          <w:bCs/>
        </w:rPr>
        <w:t>I Obowiązkowe</w:t>
      </w:r>
      <w:r w:rsidR="00CF010A" w:rsidRPr="007F5526">
        <w:rPr>
          <w:b/>
          <w:bCs/>
        </w:rPr>
        <w:t>:</w:t>
      </w:r>
    </w:p>
    <w:p w:rsidR="000630BB" w:rsidRPr="0084140F" w:rsidRDefault="000630BB" w:rsidP="000630BB">
      <w:pPr>
        <w:rPr>
          <w:b/>
        </w:rPr>
      </w:pPr>
      <w:r w:rsidRPr="0084140F">
        <w:rPr>
          <w:b/>
        </w:rPr>
        <w:t xml:space="preserve">Krzysztofik </w:t>
      </w:r>
      <w:r w:rsidR="00D21AD4" w:rsidRPr="0084140F">
        <w:rPr>
          <w:b/>
        </w:rPr>
        <w:t xml:space="preserve">E. </w:t>
      </w:r>
      <w:r w:rsidRPr="0084140F">
        <w:rPr>
          <w:b/>
        </w:rPr>
        <w:t xml:space="preserve">(red.), </w:t>
      </w:r>
      <w:r w:rsidRPr="0084140F">
        <w:rPr>
          <w:b/>
          <w:i/>
        </w:rPr>
        <w:t xml:space="preserve">Wprowadzenie do źródeł prawa Unii Europejskiej, </w:t>
      </w:r>
      <w:r w:rsidRPr="0084140F">
        <w:rPr>
          <w:b/>
        </w:rPr>
        <w:t>Warszawa 2023.</w:t>
      </w:r>
    </w:p>
    <w:p w:rsidR="000630BB" w:rsidRPr="0084140F" w:rsidRDefault="000630BB" w:rsidP="000630BB">
      <w:pPr>
        <w:rPr>
          <w:b/>
          <w:i/>
        </w:rPr>
      </w:pPr>
      <w:r w:rsidRPr="0084140F">
        <w:rPr>
          <w:b/>
        </w:rPr>
        <w:t xml:space="preserve">Krzysztofik </w:t>
      </w:r>
      <w:r w:rsidR="00D21AD4" w:rsidRPr="0084140F">
        <w:rPr>
          <w:b/>
        </w:rPr>
        <w:t xml:space="preserve">E. </w:t>
      </w:r>
      <w:r w:rsidRPr="0084140F">
        <w:rPr>
          <w:b/>
        </w:rPr>
        <w:t xml:space="preserve">(red.), </w:t>
      </w:r>
      <w:r w:rsidRPr="0084140F">
        <w:rPr>
          <w:b/>
          <w:i/>
        </w:rPr>
        <w:t xml:space="preserve">Wprowadzenie do systemu instytucjonalnego Unii Europejskiej, </w:t>
      </w:r>
      <w:r w:rsidRPr="0084140F">
        <w:rPr>
          <w:b/>
        </w:rPr>
        <w:t>Warszawa 2023.</w:t>
      </w:r>
    </w:p>
    <w:p w:rsidR="00CF010A" w:rsidRDefault="00CF010A" w:rsidP="00EE4E0C">
      <w:pPr>
        <w:rPr>
          <w:bCs/>
        </w:rPr>
      </w:pPr>
      <w:r w:rsidRPr="007F5526">
        <w:rPr>
          <w:bCs/>
        </w:rPr>
        <w:t xml:space="preserve">Kuś A. (red.), </w:t>
      </w:r>
      <w:r w:rsidRPr="007F5526">
        <w:rPr>
          <w:bCs/>
          <w:i/>
        </w:rPr>
        <w:t>Prawo instytucjonalne Unii Europejskiej w zarysie</w:t>
      </w:r>
      <w:r w:rsidRPr="007F5526">
        <w:rPr>
          <w:bCs/>
        </w:rPr>
        <w:t>, Lublin 2012.</w:t>
      </w:r>
    </w:p>
    <w:p w:rsidR="002C4F3C" w:rsidRDefault="002C4F3C" w:rsidP="002C4F3C">
      <w:r>
        <w:t xml:space="preserve">J. </w:t>
      </w:r>
      <w:r w:rsidRPr="00957254">
        <w:t xml:space="preserve">Barcz, </w:t>
      </w:r>
      <w:r>
        <w:t xml:space="preserve">M. </w:t>
      </w:r>
      <w:r w:rsidRPr="00957254">
        <w:t xml:space="preserve">Górka, </w:t>
      </w:r>
      <w:r>
        <w:t xml:space="preserve">A. </w:t>
      </w:r>
      <w:proofErr w:type="spellStart"/>
      <w:r w:rsidRPr="00957254">
        <w:t>Wyrozumska</w:t>
      </w:r>
      <w:proofErr w:type="spellEnd"/>
      <w:r w:rsidRPr="00957254">
        <w:t xml:space="preserve">, </w:t>
      </w:r>
      <w:r w:rsidRPr="00957254">
        <w:rPr>
          <w:i/>
        </w:rPr>
        <w:t>Instytucje i prawo Unii Europejskiej</w:t>
      </w:r>
      <w:r>
        <w:rPr>
          <w:i/>
        </w:rPr>
        <w:t xml:space="preserve">, </w:t>
      </w:r>
      <w:r>
        <w:t>WKP 2020.</w:t>
      </w:r>
    </w:p>
    <w:p w:rsidR="00CF010A" w:rsidRPr="007F5526" w:rsidRDefault="00CF010A" w:rsidP="00EE4E0C">
      <w:pPr>
        <w:rPr>
          <w:bCs/>
        </w:rPr>
      </w:pPr>
      <w:r w:rsidRPr="007F5526">
        <w:rPr>
          <w:bCs/>
        </w:rPr>
        <w:t>Traktat o funkcjonowaniu Unii Europejskiej (TFUE)</w:t>
      </w:r>
    </w:p>
    <w:p w:rsidR="00CF010A" w:rsidRPr="007F5526" w:rsidRDefault="00CF010A" w:rsidP="00EE4E0C">
      <w:pPr>
        <w:rPr>
          <w:bCs/>
        </w:rPr>
      </w:pPr>
      <w:r w:rsidRPr="007F5526">
        <w:rPr>
          <w:bCs/>
        </w:rPr>
        <w:t>Traktat o Unii Europejskiej (TUE)</w:t>
      </w:r>
    </w:p>
    <w:p w:rsidR="00CF010A" w:rsidRPr="007F5526" w:rsidRDefault="00CF010A" w:rsidP="00EE4E0C">
      <w:r w:rsidRPr="007F5526">
        <w:t>Karta Praw Podstawowych</w:t>
      </w:r>
    </w:p>
    <w:p w:rsidR="00CF010A" w:rsidRPr="007F5526" w:rsidRDefault="00CF010A" w:rsidP="00EE4E0C">
      <w:r w:rsidRPr="007F5526">
        <w:t>Protokoły dołączone do Traktatu Lizbońskiego</w:t>
      </w:r>
    </w:p>
    <w:p w:rsidR="00CF010A" w:rsidRDefault="00CF010A" w:rsidP="00EE4E0C">
      <w:r w:rsidRPr="007F5526">
        <w:t>Kodeks wyborczy w zakresie wyborów do Parlamentu Europejskiego</w:t>
      </w:r>
    </w:p>
    <w:p w:rsidR="00D21AD4" w:rsidRDefault="00D21AD4">
      <w:pPr>
        <w:suppressAutoHyphens w:val="0"/>
        <w:spacing w:after="200" w:line="276" w:lineRule="auto"/>
        <w:rPr>
          <w:b/>
          <w:sz w:val="23"/>
          <w:lang w:val="de-DE"/>
        </w:rPr>
      </w:pPr>
      <w:r>
        <w:rPr>
          <w:b/>
          <w:sz w:val="23"/>
          <w:lang w:val="de-DE"/>
        </w:rPr>
        <w:br w:type="page"/>
      </w:r>
    </w:p>
    <w:p w:rsidR="00D21AD4" w:rsidRDefault="00D21AD4" w:rsidP="002C4F3C">
      <w:pPr>
        <w:rPr>
          <w:b/>
          <w:sz w:val="23"/>
          <w:lang w:val="de-DE"/>
        </w:rPr>
      </w:pPr>
      <w:proofErr w:type="spellStart"/>
      <w:r>
        <w:rPr>
          <w:b/>
          <w:sz w:val="23"/>
          <w:lang w:val="de-DE"/>
        </w:rPr>
        <w:lastRenderedPageBreak/>
        <w:t>Orzecznictwo</w:t>
      </w:r>
      <w:proofErr w:type="spellEnd"/>
      <w:r>
        <w:rPr>
          <w:b/>
          <w:sz w:val="23"/>
          <w:lang w:val="de-DE"/>
        </w:rPr>
        <w:t>:</w:t>
      </w:r>
    </w:p>
    <w:p w:rsidR="002C4F3C" w:rsidRPr="002C6C60" w:rsidRDefault="002C4F3C" w:rsidP="002C4F3C">
      <w:pPr>
        <w:rPr>
          <w:b/>
          <w:sz w:val="23"/>
          <w:lang w:val="de-DE"/>
        </w:rPr>
      </w:pPr>
      <w:r w:rsidRPr="002C6C60">
        <w:rPr>
          <w:b/>
          <w:sz w:val="23"/>
          <w:lang w:val="de-DE"/>
        </w:rPr>
        <w:t xml:space="preserve">26/62 Van </w:t>
      </w:r>
      <w:proofErr w:type="spellStart"/>
      <w:r w:rsidRPr="002C6C60">
        <w:rPr>
          <w:b/>
          <w:sz w:val="23"/>
          <w:lang w:val="de-DE"/>
        </w:rPr>
        <w:t>Gend</w:t>
      </w:r>
      <w:proofErr w:type="spellEnd"/>
      <w:r w:rsidRPr="002C6C60">
        <w:rPr>
          <w:b/>
          <w:sz w:val="23"/>
          <w:lang w:val="de-DE"/>
        </w:rPr>
        <w:t xml:space="preserve"> &amp; Loos, </w:t>
      </w:r>
    </w:p>
    <w:p w:rsidR="002C4F3C" w:rsidRPr="002C6C60" w:rsidRDefault="002C4F3C" w:rsidP="002C4F3C">
      <w:pPr>
        <w:rPr>
          <w:b/>
          <w:sz w:val="23"/>
          <w:lang w:val="de-DE"/>
        </w:rPr>
      </w:pPr>
      <w:r w:rsidRPr="002C6C60">
        <w:rPr>
          <w:b/>
          <w:sz w:val="23"/>
          <w:lang w:val="de-DE"/>
        </w:rPr>
        <w:t>6/64 Costa v. ENEL,</w:t>
      </w:r>
    </w:p>
    <w:p w:rsidR="002C4F3C" w:rsidRPr="002C6C60" w:rsidRDefault="002C4F3C" w:rsidP="002C4F3C">
      <w:pPr>
        <w:rPr>
          <w:b/>
          <w:sz w:val="23"/>
          <w:lang w:val="de-DE"/>
        </w:rPr>
      </w:pPr>
      <w:r w:rsidRPr="002C6C60">
        <w:rPr>
          <w:b/>
          <w:sz w:val="23"/>
          <w:lang w:val="de-DE"/>
        </w:rPr>
        <w:t xml:space="preserve">06/77 </w:t>
      </w:r>
      <w:proofErr w:type="spellStart"/>
      <w:r w:rsidRPr="002C6C60">
        <w:rPr>
          <w:b/>
          <w:sz w:val="23"/>
          <w:lang w:val="de-DE"/>
        </w:rPr>
        <w:t>Simmenthal</w:t>
      </w:r>
      <w:proofErr w:type="spellEnd"/>
      <w:r w:rsidRPr="002C6C60">
        <w:rPr>
          <w:b/>
          <w:sz w:val="23"/>
          <w:lang w:val="de-DE"/>
        </w:rPr>
        <w:t xml:space="preserve">, </w:t>
      </w:r>
    </w:p>
    <w:p w:rsidR="00EE4E0C" w:rsidRPr="002C6C60" w:rsidRDefault="002C6C60" w:rsidP="00957254">
      <w:pPr>
        <w:rPr>
          <w:b/>
          <w:lang w:val="en-GB"/>
        </w:rPr>
      </w:pPr>
      <w:r w:rsidRPr="002C6C60">
        <w:rPr>
          <w:b/>
          <w:lang w:val="en-GB"/>
        </w:rPr>
        <w:t xml:space="preserve">C-6/90 </w:t>
      </w:r>
      <w:proofErr w:type="spellStart"/>
      <w:r w:rsidRPr="002C6C60">
        <w:rPr>
          <w:b/>
          <w:lang w:val="en-GB"/>
        </w:rPr>
        <w:t>i</w:t>
      </w:r>
      <w:proofErr w:type="spellEnd"/>
      <w:r w:rsidRPr="002C6C60">
        <w:rPr>
          <w:b/>
          <w:lang w:val="en-GB"/>
        </w:rPr>
        <w:t xml:space="preserve"> C-9/90 </w:t>
      </w:r>
      <w:proofErr w:type="spellStart"/>
      <w:r w:rsidRPr="002C6C60">
        <w:rPr>
          <w:b/>
          <w:lang w:val="en-GB"/>
        </w:rPr>
        <w:t>Francovich</w:t>
      </w:r>
      <w:proofErr w:type="spellEnd"/>
      <w:r w:rsidRPr="002C6C60">
        <w:rPr>
          <w:b/>
          <w:lang w:val="en-GB"/>
        </w:rPr>
        <w:t xml:space="preserve"> </w:t>
      </w:r>
      <w:proofErr w:type="spellStart"/>
      <w:r w:rsidRPr="002C6C60">
        <w:rPr>
          <w:b/>
          <w:lang w:val="en-GB"/>
        </w:rPr>
        <w:t>i</w:t>
      </w:r>
      <w:proofErr w:type="spellEnd"/>
      <w:r w:rsidRPr="002C6C60">
        <w:rPr>
          <w:b/>
          <w:lang w:val="en-GB"/>
        </w:rPr>
        <w:t xml:space="preserve"> </w:t>
      </w:r>
      <w:proofErr w:type="spellStart"/>
      <w:r w:rsidRPr="002C6C60">
        <w:rPr>
          <w:b/>
          <w:lang w:val="en-GB"/>
        </w:rPr>
        <w:t>Bonifaci</w:t>
      </w:r>
      <w:proofErr w:type="spellEnd"/>
    </w:p>
    <w:p w:rsidR="002C6C60" w:rsidRPr="002C6C60" w:rsidRDefault="002C6C60" w:rsidP="00957254">
      <w:pPr>
        <w:rPr>
          <w:lang w:val="en-GB"/>
        </w:rPr>
      </w:pPr>
    </w:p>
    <w:p w:rsidR="00957254" w:rsidRPr="00EE4E0C" w:rsidRDefault="00957254" w:rsidP="00957254">
      <w:pPr>
        <w:rPr>
          <w:b/>
        </w:rPr>
      </w:pPr>
      <w:r w:rsidRPr="00EE4E0C">
        <w:rPr>
          <w:b/>
        </w:rPr>
        <w:t xml:space="preserve">II Literatura i źródła prawa </w:t>
      </w:r>
      <w:r w:rsidR="002C4F3C">
        <w:rPr>
          <w:b/>
        </w:rPr>
        <w:t>o charakterze uzupełniającym</w:t>
      </w:r>
      <w:r w:rsidRPr="00EE4E0C">
        <w:rPr>
          <w:b/>
        </w:rPr>
        <w:t>:</w:t>
      </w:r>
    </w:p>
    <w:p w:rsidR="00957254" w:rsidRDefault="00957254" w:rsidP="00957254">
      <w:r>
        <w:t xml:space="preserve">S. Biernat (red.), </w:t>
      </w:r>
      <w:r>
        <w:rPr>
          <w:i/>
        </w:rPr>
        <w:t xml:space="preserve">Podstawy i źródła prawa Unii Europejskiej. </w:t>
      </w:r>
      <w:proofErr w:type="spellStart"/>
      <w:r>
        <w:t>C.H.Beck</w:t>
      </w:r>
      <w:proofErr w:type="spellEnd"/>
      <w:r>
        <w:t xml:space="preserve"> 2020.</w:t>
      </w:r>
    </w:p>
    <w:p w:rsidR="00957254" w:rsidRDefault="00957254" w:rsidP="00957254">
      <w:r>
        <w:t xml:space="preserve">J. </w:t>
      </w:r>
      <w:r w:rsidRPr="00957254">
        <w:t xml:space="preserve">Barcz, </w:t>
      </w:r>
      <w:r w:rsidRPr="00957254">
        <w:rPr>
          <w:i/>
        </w:rPr>
        <w:t xml:space="preserve">Od lizbońskiej do </w:t>
      </w:r>
      <w:proofErr w:type="spellStart"/>
      <w:r w:rsidRPr="00957254">
        <w:rPr>
          <w:i/>
        </w:rPr>
        <w:t>postlizbońskiej</w:t>
      </w:r>
      <w:proofErr w:type="spellEnd"/>
      <w:r w:rsidRPr="00957254">
        <w:rPr>
          <w:i/>
        </w:rPr>
        <w:t xml:space="preserve"> Unii Europejskiej. Główne kierunki reformy ustrojowej procesu integracji europejskiej</w:t>
      </w:r>
      <w:r>
        <w:rPr>
          <w:i/>
        </w:rPr>
        <w:t xml:space="preserve">, </w:t>
      </w:r>
      <w:r>
        <w:t>WKP 2020.</w:t>
      </w:r>
    </w:p>
    <w:p w:rsidR="00957254" w:rsidRDefault="00957254" w:rsidP="00957254">
      <w:r w:rsidRPr="00957254">
        <w:t>S. Biernat</w:t>
      </w:r>
      <w:r>
        <w:t xml:space="preserve"> (red.)</w:t>
      </w:r>
      <w:r w:rsidRPr="00957254">
        <w:t xml:space="preserve">, </w:t>
      </w:r>
      <w:r w:rsidRPr="00957254">
        <w:rPr>
          <w:i/>
        </w:rPr>
        <w:t>Kamienie milowe orzecznictwa Trybunału Sprawiedliwości Unii Europejskiej</w:t>
      </w:r>
      <w:r>
        <w:rPr>
          <w:i/>
        </w:rPr>
        <w:t xml:space="preserve">, </w:t>
      </w:r>
      <w:r w:rsidRPr="00957254">
        <w:t>Warszawa 2019.</w:t>
      </w:r>
    </w:p>
    <w:p w:rsidR="00957254" w:rsidRDefault="00957254" w:rsidP="00957254">
      <w:r>
        <w:t xml:space="preserve">M. </w:t>
      </w:r>
      <w:proofErr w:type="spellStart"/>
      <w:r>
        <w:t>Szpunar</w:t>
      </w:r>
      <w:proofErr w:type="spellEnd"/>
      <w:r>
        <w:t xml:space="preserve">, </w:t>
      </w:r>
      <w:r w:rsidRPr="002C4F3C">
        <w:rPr>
          <w:i/>
        </w:rPr>
        <w:t>Rola rzecznika generalnego w aktualnym systemie sądownictwa unijnego</w:t>
      </w:r>
      <w:r>
        <w:t>, EPS 2019/5/4-11</w:t>
      </w:r>
    </w:p>
    <w:p w:rsidR="007E3FA6" w:rsidRDefault="007E3FA6" w:rsidP="007E3FA6">
      <w:r>
        <w:t xml:space="preserve">M. </w:t>
      </w:r>
      <w:proofErr w:type="spellStart"/>
      <w:r>
        <w:t>Szpunar</w:t>
      </w:r>
      <w:proofErr w:type="spellEnd"/>
      <w:r>
        <w:t xml:space="preserve">, </w:t>
      </w:r>
      <w:r w:rsidRPr="002C4F3C">
        <w:rPr>
          <w:i/>
        </w:rPr>
        <w:t>Implementacja Traktatu z Lizbony: akty delegowane versus akty wykonawcze</w:t>
      </w:r>
      <w:r>
        <w:t xml:space="preserve"> EPS 2012/3/4-5</w:t>
      </w:r>
    </w:p>
    <w:p w:rsidR="007E3FA6" w:rsidRDefault="007E3FA6" w:rsidP="007E3FA6">
      <w:r>
        <w:t xml:space="preserve">D. </w:t>
      </w:r>
      <w:proofErr w:type="spellStart"/>
      <w:r>
        <w:t>Miąsik</w:t>
      </w:r>
      <w:proofErr w:type="spellEnd"/>
      <w:r>
        <w:t xml:space="preserve"> (red.), N. Półtorak (red.), A. Wróbel (red.), </w:t>
      </w:r>
      <w:r w:rsidRPr="007E3FA6">
        <w:rPr>
          <w:i/>
        </w:rPr>
        <w:t>Traktat o funkcjonowaniu Unii Europejskiej. Komentarz. Tom I (art. 1-89)</w:t>
      </w:r>
      <w:r>
        <w:t>, WKP 2012</w:t>
      </w:r>
    </w:p>
    <w:p w:rsidR="007E3FA6" w:rsidRDefault="007E3FA6" w:rsidP="007E3FA6">
      <w:r>
        <w:t xml:space="preserve">D. </w:t>
      </w:r>
      <w:proofErr w:type="spellStart"/>
      <w:r>
        <w:t>Kornobis</w:t>
      </w:r>
      <w:proofErr w:type="spellEnd"/>
      <w:r>
        <w:t xml:space="preserve">-Romanowska (red.), J. Łacny (red.), A. Wróbel (red.), </w:t>
      </w:r>
      <w:r w:rsidRPr="00EE4E0C">
        <w:rPr>
          <w:i/>
        </w:rPr>
        <w:t>Traktat o funkcjonowaniu Unii Europejskiej. Komentarz. Tom III (art. 223-358),</w:t>
      </w:r>
      <w:r>
        <w:t xml:space="preserve"> WKP 2012</w:t>
      </w:r>
    </w:p>
    <w:p w:rsidR="007E3FA6" w:rsidRDefault="007E3FA6" w:rsidP="007E3FA6">
      <w:r>
        <w:t xml:space="preserve">K. Kowalik-Bańczyk (red.), M. Szwarc-Kuczer (red.), A. Wróbel (red.), </w:t>
      </w:r>
      <w:r w:rsidRPr="00EE4E0C">
        <w:rPr>
          <w:i/>
        </w:rPr>
        <w:t>Traktat o funkcjonowaniu Unii Europejskiej. Komentarz. Tom II (art. 90-222)</w:t>
      </w:r>
      <w:r w:rsidR="00EE4E0C" w:rsidRPr="00EE4E0C">
        <w:t xml:space="preserve"> </w:t>
      </w:r>
      <w:r w:rsidR="00EE4E0C">
        <w:t>, WKP 2012</w:t>
      </w:r>
    </w:p>
    <w:p w:rsidR="007E3FA6" w:rsidRDefault="00EE4E0C" w:rsidP="00EE4E0C">
      <w:r>
        <w:t xml:space="preserve">E. Łętowska, </w:t>
      </w:r>
      <w:proofErr w:type="spellStart"/>
      <w:r w:rsidRPr="00EE4E0C">
        <w:rPr>
          <w:i/>
        </w:rPr>
        <w:t>Multicentryczność</w:t>
      </w:r>
      <w:proofErr w:type="spellEnd"/>
      <w:r w:rsidRPr="00EE4E0C">
        <w:rPr>
          <w:i/>
        </w:rPr>
        <w:t xml:space="preserve"> współczesnego systemu prawa i jej konsekwencje</w:t>
      </w:r>
      <w:r>
        <w:rPr>
          <w:i/>
        </w:rPr>
        <w:t xml:space="preserve">, </w:t>
      </w:r>
      <w:proofErr w:type="spellStart"/>
      <w:r>
        <w:t>PiP</w:t>
      </w:r>
      <w:proofErr w:type="spellEnd"/>
      <w:r>
        <w:t xml:space="preserve"> 2005/4/3-10</w:t>
      </w:r>
    </w:p>
    <w:p w:rsidR="00EE4E0C" w:rsidRPr="007F5526" w:rsidRDefault="00EE4E0C" w:rsidP="00EE4E0C">
      <w:r w:rsidRPr="007F5526">
        <w:t>Regulamin Parlamentu Europejskiego</w:t>
      </w:r>
    </w:p>
    <w:p w:rsidR="00EE4E0C" w:rsidRPr="007F5526" w:rsidRDefault="00EE4E0C" w:rsidP="00EE4E0C">
      <w:r w:rsidRPr="007F5526">
        <w:t>Regulamin Rady</w:t>
      </w:r>
    </w:p>
    <w:p w:rsidR="00EE4E0C" w:rsidRPr="007F5526" w:rsidRDefault="00EE4E0C" w:rsidP="00EE4E0C">
      <w:r w:rsidRPr="007F5526">
        <w:t>Regulamin Rady Europejskiej</w:t>
      </w:r>
    </w:p>
    <w:p w:rsidR="00EE4E0C" w:rsidRPr="007F5526" w:rsidRDefault="00EE4E0C" w:rsidP="00EE4E0C">
      <w:r w:rsidRPr="007F5526">
        <w:t>Regulamin Komisji Europejskiej</w:t>
      </w:r>
    </w:p>
    <w:p w:rsidR="007E3FA6" w:rsidRDefault="007E3FA6" w:rsidP="007E3FA6"/>
    <w:p w:rsidR="0063222E" w:rsidRPr="0063222E" w:rsidRDefault="0063222E" w:rsidP="00CF010A">
      <w:pPr>
        <w:rPr>
          <w:b/>
        </w:rPr>
      </w:pPr>
      <w:r w:rsidRPr="0063222E">
        <w:rPr>
          <w:b/>
        </w:rPr>
        <w:t>Dostępność:</w:t>
      </w:r>
    </w:p>
    <w:p w:rsidR="00CF010A" w:rsidRDefault="00CF010A" w:rsidP="00CF010A">
      <w:pPr>
        <w:rPr>
          <w:rStyle w:val="Hipercze"/>
        </w:rPr>
      </w:pPr>
      <w:r w:rsidRPr="007F5526">
        <w:t xml:space="preserve">Orzecznictwo TSUE </w:t>
      </w:r>
      <w:hyperlink r:id="rId7" w:history="1">
        <w:r w:rsidRPr="007F5526">
          <w:rPr>
            <w:rStyle w:val="Hipercze"/>
          </w:rPr>
          <w:t>http://curia.europa.eu/</w:t>
        </w:r>
      </w:hyperlink>
      <w:r w:rsidRPr="007F5526">
        <w:t xml:space="preserve"> </w:t>
      </w:r>
      <w:r w:rsidRPr="007F5526">
        <w:br/>
        <w:t xml:space="preserve">Akty prawne są dostępne na stronie </w:t>
      </w:r>
      <w:hyperlink r:id="rId8" w:history="1">
        <w:r w:rsidRPr="007F5526">
          <w:rPr>
            <w:rStyle w:val="Hipercze"/>
          </w:rPr>
          <w:t>www.eur-lex.pl</w:t>
        </w:r>
      </w:hyperlink>
    </w:p>
    <w:p w:rsidR="00EE4E0C" w:rsidRPr="00EE4E0C" w:rsidRDefault="00EE4E0C" w:rsidP="00CF010A">
      <w:r w:rsidRPr="00EE4E0C">
        <w:rPr>
          <w:rStyle w:val="Hipercze"/>
          <w:color w:val="auto"/>
          <w:u w:val="none"/>
        </w:rPr>
        <w:t xml:space="preserve">literatura: </w:t>
      </w:r>
      <w:proofErr w:type="spellStart"/>
      <w:r w:rsidRPr="00EE4E0C">
        <w:rPr>
          <w:rStyle w:val="Hipercze"/>
          <w:color w:val="auto"/>
          <w:u w:val="none"/>
        </w:rPr>
        <w:t>sip.lex</w:t>
      </w:r>
      <w:proofErr w:type="spellEnd"/>
      <w:r w:rsidRPr="00EE4E0C">
        <w:rPr>
          <w:rStyle w:val="Hipercze"/>
          <w:color w:val="auto"/>
          <w:u w:val="none"/>
        </w:rPr>
        <w:t xml:space="preserve"> i </w:t>
      </w:r>
      <w:proofErr w:type="spellStart"/>
      <w:r w:rsidRPr="00EE4E0C">
        <w:rPr>
          <w:rStyle w:val="Hipercze"/>
          <w:color w:val="auto"/>
          <w:u w:val="none"/>
        </w:rPr>
        <w:t>sip.legalis</w:t>
      </w:r>
      <w:proofErr w:type="spellEnd"/>
    </w:p>
    <w:p w:rsidR="00CF010A" w:rsidRDefault="00CF010A" w:rsidP="00CF010A"/>
    <w:p w:rsidR="002C4F3C" w:rsidRDefault="002C4F3C" w:rsidP="00CF010A">
      <w:r>
        <w:t>Źródła popularnonaukowe/</w:t>
      </w:r>
      <w:r w:rsidR="0063222E">
        <w:t>popularyzatorskie</w:t>
      </w:r>
      <w:r>
        <w:t>:</w:t>
      </w:r>
    </w:p>
    <w:p w:rsidR="002C4F3C" w:rsidRDefault="002C4F3C" w:rsidP="002C4F3C">
      <w:pPr>
        <w:pStyle w:val="Akapitzlist"/>
        <w:numPr>
          <w:ilvl w:val="0"/>
          <w:numId w:val="9"/>
        </w:numPr>
      </w:pPr>
      <w:r>
        <w:t xml:space="preserve">Noty tematyczne PE: </w:t>
      </w:r>
      <w:hyperlink r:id="rId9" w:history="1">
        <w:r w:rsidRPr="00252530">
          <w:rPr>
            <w:rStyle w:val="Hipercze"/>
          </w:rPr>
          <w:t>https://www.europarl.europa.eu/factsheets/pl/chapter/209/system-funkcjonowania-unii-europejskiej</w:t>
        </w:r>
      </w:hyperlink>
    </w:p>
    <w:p w:rsidR="002C4F3C" w:rsidRDefault="002C4F3C" w:rsidP="002C4F3C">
      <w:pPr>
        <w:pStyle w:val="Akapitzlist"/>
        <w:numPr>
          <w:ilvl w:val="0"/>
          <w:numId w:val="9"/>
        </w:numPr>
      </w:pPr>
      <w:r>
        <w:t xml:space="preserve">europa.eu: </w:t>
      </w:r>
      <w:hyperlink r:id="rId10" w:history="1">
        <w:r w:rsidRPr="00252530">
          <w:rPr>
            <w:rStyle w:val="Hipercze"/>
          </w:rPr>
          <w:t>https://europa.eu/european-union/about-eu/institutions-bodies_pl</w:t>
        </w:r>
      </w:hyperlink>
    </w:p>
    <w:p w:rsidR="002C4F3C" w:rsidRDefault="002C4F3C" w:rsidP="00B47020">
      <w:pPr>
        <w:pStyle w:val="Akapitzlist"/>
        <w:numPr>
          <w:ilvl w:val="0"/>
          <w:numId w:val="9"/>
        </w:numPr>
      </w:pPr>
      <w:r>
        <w:t>PE o zwykłej procedurze ustawodawczej</w:t>
      </w:r>
      <w:r w:rsidR="00B47020">
        <w:t xml:space="preserve">: </w:t>
      </w:r>
      <w:hyperlink r:id="rId11" w:history="1">
        <w:r w:rsidR="00B47020" w:rsidRPr="00252530">
          <w:rPr>
            <w:rStyle w:val="Hipercze"/>
          </w:rPr>
          <w:t>https://www.europarl.europa.eu/infographic/legislative-procedure/index_pl.html</w:t>
        </w:r>
      </w:hyperlink>
    </w:p>
    <w:p w:rsidR="002C4F3C" w:rsidRDefault="002C4F3C" w:rsidP="00B47020">
      <w:pPr>
        <w:pStyle w:val="Akapitzlist"/>
        <w:numPr>
          <w:ilvl w:val="0"/>
          <w:numId w:val="9"/>
        </w:numPr>
      </w:pPr>
      <w:r>
        <w:t xml:space="preserve">strona RUE i RE: </w:t>
      </w:r>
      <w:hyperlink r:id="rId12" w:history="1">
        <w:r w:rsidR="00B47020" w:rsidRPr="00252530">
          <w:rPr>
            <w:rStyle w:val="Hipercze"/>
          </w:rPr>
          <w:t>https://www.consilium.europa.eu/pl/council-eu/</w:t>
        </w:r>
      </w:hyperlink>
      <w:r w:rsidR="00B47020">
        <w:t xml:space="preserve">, </w:t>
      </w:r>
      <w:hyperlink r:id="rId13" w:history="1">
        <w:r w:rsidR="00B47020" w:rsidRPr="00252530">
          <w:rPr>
            <w:rStyle w:val="Hipercze"/>
          </w:rPr>
          <w:t>https://www.consilium.europa.eu/pl/european-council/</w:t>
        </w:r>
      </w:hyperlink>
    </w:p>
    <w:p w:rsidR="00D21AD4" w:rsidRDefault="00B47020" w:rsidP="00B47020">
      <w:pPr>
        <w:pStyle w:val="Akapitzlist"/>
        <w:numPr>
          <w:ilvl w:val="0"/>
          <w:numId w:val="9"/>
        </w:numPr>
      </w:pPr>
      <w:proofErr w:type="spellStart"/>
      <w:r>
        <w:t>eur</w:t>
      </w:r>
      <w:proofErr w:type="spellEnd"/>
      <w:r>
        <w:t xml:space="preserve">-lex </w:t>
      </w:r>
    </w:p>
    <w:p w:rsidR="00B47020" w:rsidRPr="00D21AD4" w:rsidRDefault="00D21AD4" w:rsidP="00D21A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CF010A" w:rsidRPr="007F5526" w:rsidRDefault="00CF010A" w:rsidP="00CF010A">
      <w:pPr>
        <w:pStyle w:val="Nagwek1"/>
        <w:keepNext w:val="0"/>
        <w:jc w:val="both"/>
        <w:rPr>
          <w:lang w:val="pl-PL"/>
        </w:rPr>
      </w:pPr>
      <w:r w:rsidRPr="007F5526">
        <w:rPr>
          <w:lang w:val="pl-PL"/>
        </w:rPr>
        <w:lastRenderedPageBreak/>
        <w:t>Sposób oceniania:</w:t>
      </w:r>
    </w:p>
    <w:p w:rsidR="00FB326F" w:rsidRDefault="00FB326F" w:rsidP="0084140F">
      <w:pPr>
        <w:pStyle w:val="paragraph"/>
        <w:spacing w:before="0" w:beforeAutospacing="0" w:after="0" w:afterAutospacing="0"/>
        <w:jc w:val="both"/>
        <w:textAlignment w:val="baseline"/>
      </w:pPr>
      <w:r>
        <w:t>Dwa kolokwia po 20 pkt.</w:t>
      </w:r>
    </w:p>
    <w:p w:rsidR="00FB326F" w:rsidRDefault="00FB326F" w:rsidP="0084140F">
      <w:pPr>
        <w:pStyle w:val="paragraph"/>
        <w:spacing w:before="0" w:beforeAutospacing="0" w:after="0" w:afterAutospacing="0"/>
        <w:jc w:val="both"/>
        <w:textAlignment w:val="baseline"/>
      </w:pPr>
      <w:r>
        <w:t>Glosa do wyroku 5 pkt. – element obowiązkowy</w:t>
      </w:r>
      <w:r w:rsidR="0084140F">
        <w:t xml:space="preserve"> (zaliczenie glosy od co najmniej 3 pkt.)</w:t>
      </w:r>
    </w:p>
    <w:p w:rsidR="00FB326F" w:rsidRDefault="00FB326F" w:rsidP="0084140F">
      <w:pPr>
        <w:pStyle w:val="paragraph"/>
        <w:spacing w:before="0" w:beforeAutospacing="0" w:after="0" w:afterAutospacing="0"/>
        <w:jc w:val="both"/>
        <w:textAlignment w:val="baseline"/>
      </w:pPr>
      <w:r>
        <w:t>Aktywność – 5 pkt.</w:t>
      </w:r>
    </w:p>
    <w:p w:rsidR="00FB326F" w:rsidRDefault="00FB326F" w:rsidP="0084140F">
      <w:pPr>
        <w:pStyle w:val="paragraph"/>
        <w:spacing w:before="0" w:beforeAutospacing="0" w:after="0" w:afterAutospacing="0"/>
        <w:jc w:val="both"/>
        <w:textAlignment w:val="baseline"/>
      </w:pPr>
      <w:r>
        <w:t>Pytani</w:t>
      </w:r>
      <w:r w:rsidR="0084140F">
        <w:t>a</w:t>
      </w:r>
      <w:r>
        <w:t xml:space="preserve"> testowe z </w:t>
      </w:r>
      <w:r w:rsidR="0084140F">
        <w:t xml:space="preserve">systemu </w:t>
      </w:r>
      <w:proofErr w:type="spellStart"/>
      <w:r w:rsidR="00D21AD4">
        <w:t>A</w:t>
      </w:r>
      <w:r w:rsidR="00AF34C8">
        <w:t>rslege</w:t>
      </w:r>
      <w:proofErr w:type="spellEnd"/>
      <w:r>
        <w:t>.</w:t>
      </w:r>
    </w:p>
    <w:p w:rsidR="00FB326F" w:rsidRDefault="00FB326F" w:rsidP="0084140F">
      <w:pPr>
        <w:pStyle w:val="paragraph"/>
        <w:spacing w:before="0" w:beforeAutospacing="0" w:after="0" w:afterAutospacing="0"/>
        <w:jc w:val="both"/>
        <w:textAlignment w:val="baseline"/>
      </w:pPr>
    </w:p>
    <w:p w:rsidR="00FB326F" w:rsidRDefault="0084578D" w:rsidP="0084140F">
      <w:pPr>
        <w:pStyle w:val="paragraph"/>
        <w:spacing w:before="0" w:beforeAutospacing="0" w:after="0" w:afterAutospacing="0"/>
        <w:jc w:val="both"/>
        <w:textAlignment w:val="baseline"/>
      </w:pPr>
      <w:r>
        <w:t>Łączna liczba punktów 50</w:t>
      </w:r>
    </w:p>
    <w:p w:rsidR="00AF34C8" w:rsidRPr="00552D3B" w:rsidRDefault="00AF34C8" w:rsidP="00AF34C8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50 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>pkt.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</w:t>
      </w:r>
      <w:proofErr w:type="spellStart"/>
      <w:r w:rsidRPr="00552D3B">
        <w:rPr>
          <w:rFonts w:ascii="Times New Roman" w:hAnsi="Times New Roman" w:cs="Times New Roman"/>
          <w:color w:val="auto"/>
          <w:sz w:val="24"/>
          <w:szCs w:val="24"/>
        </w:rPr>
        <w:t>bdb</w:t>
      </w:r>
      <w:proofErr w:type="spellEnd"/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(5,0)</w:t>
      </w:r>
    </w:p>
    <w:p w:rsidR="00AF34C8" w:rsidRPr="00BE34F6" w:rsidRDefault="00AF34C8" w:rsidP="00AF34C8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41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34F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45 </w:t>
      </w:r>
      <w:r w:rsidRPr="00BE34F6">
        <w:rPr>
          <w:rFonts w:ascii="Times New Roman" w:hAnsi="Times New Roman" w:cs="Times New Roman"/>
          <w:color w:val="auto"/>
          <w:sz w:val="24"/>
          <w:szCs w:val="24"/>
        </w:rPr>
        <w:t>pkt.</w:t>
      </w:r>
      <w:r w:rsidRPr="00BE34F6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plus </w:t>
      </w:r>
      <w:proofErr w:type="spellStart"/>
      <w:r w:rsidRPr="00BE34F6">
        <w:rPr>
          <w:rFonts w:ascii="Times New Roman" w:hAnsi="Times New Roman" w:cs="Times New Roman"/>
          <w:color w:val="auto"/>
          <w:sz w:val="24"/>
          <w:szCs w:val="24"/>
        </w:rPr>
        <w:t>db</w:t>
      </w:r>
      <w:proofErr w:type="spellEnd"/>
      <w:r w:rsidRPr="00BE34F6">
        <w:rPr>
          <w:rFonts w:ascii="Times New Roman" w:hAnsi="Times New Roman" w:cs="Times New Roman"/>
          <w:color w:val="auto"/>
          <w:sz w:val="24"/>
          <w:szCs w:val="24"/>
        </w:rPr>
        <w:t xml:space="preserve"> (4,5)</w:t>
      </w:r>
    </w:p>
    <w:p w:rsidR="00AF34C8" w:rsidRPr="00B24C41" w:rsidRDefault="00AF34C8" w:rsidP="00AF34C8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 w:rsidRPr="00B24C41">
        <w:rPr>
          <w:rFonts w:ascii="Times New Roman" w:hAnsi="Times New Roman" w:cs="Times New Roman"/>
          <w:color w:val="auto"/>
          <w:sz w:val="24"/>
          <w:szCs w:val="24"/>
        </w:rPr>
        <w:t>36 – 40 pkt.</w:t>
      </w:r>
      <w:r w:rsidRPr="00B24C41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</w:t>
      </w:r>
      <w:proofErr w:type="spellStart"/>
      <w:r w:rsidRPr="00B24C41">
        <w:rPr>
          <w:rFonts w:ascii="Times New Roman" w:hAnsi="Times New Roman" w:cs="Times New Roman"/>
          <w:color w:val="auto"/>
          <w:sz w:val="24"/>
          <w:szCs w:val="24"/>
        </w:rPr>
        <w:t>bd</w:t>
      </w:r>
      <w:proofErr w:type="spellEnd"/>
      <w:r w:rsidRPr="00B24C41">
        <w:rPr>
          <w:rFonts w:ascii="Times New Roman" w:hAnsi="Times New Roman" w:cs="Times New Roman"/>
          <w:color w:val="auto"/>
          <w:sz w:val="24"/>
          <w:szCs w:val="24"/>
        </w:rPr>
        <w:t xml:space="preserve"> (4,0)</w:t>
      </w:r>
    </w:p>
    <w:p w:rsidR="00AF34C8" w:rsidRPr="00B24C41" w:rsidRDefault="00AF34C8" w:rsidP="00AF34C8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31</w:t>
      </w:r>
      <w:r w:rsidRPr="00212B6F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BE34F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–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35</w:t>
      </w:r>
      <w:r w:rsidRPr="00BE34F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pkt.</w:t>
      </w:r>
      <w:r w:rsidRPr="00BE34F6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plus dst. </w:t>
      </w:r>
      <w:r w:rsidRPr="00B24C41">
        <w:rPr>
          <w:rFonts w:ascii="Times New Roman" w:hAnsi="Times New Roman" w:cs="Times New Roman"/>
          <w:color w:val="auto"/>
          <w:sz w:val="24"/>
          <w:szCs w:val="24"/>
          <w:lang w:val="fr-FR"/>
        </w:rPr>
        <w:t>(3,5)</w:t>
      </w:r>
    </w:p>
    <w:p w:rsidR="00AF34C8" w:rsidRPr="00B24C41" w:rsidRDefault="00AF34C8" w:rsidP="00AF34C8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B24C4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26 – 30 pkt. </w:t>
      </w:r>
      <w:r w:rsidRPr="00B24C41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- dst. (3,0)</w:t>
      </w:r>
    </w:p>
    <w:p w:rsidR="00CF010A" w:rsidRPr="007F5526" w:rsidRDefault="00CF010A" w:rsidP="00CF010A">
      <w:pPr>
        <w:pStyle w:val="HTML-wstpniesformatowany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F010A" w:rsidRPr="007F5526" w:rsidRDefault="00CF010A" w:rsidP="00CF010A">
      <w:pPr>
        <w:pStyle w:val="HTML-wstpniesformatowany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Warunkiem uzyskania </w:t>
      </w:r>
      <w:r w:rsidR="0063222E">
        <w:rPr>
          <w:rFonts w:ascii="Times New Roman" w:hAnsi="Times New Roman" w:cs="Times New Roman"/>
          <w:b/>
          <w:color w:val="auto"/>
          <w:sz w:val="24"/>
          <w:szCs w:val="24"/>
        </w:rPr>
        <w:t>pozytywnej oceny</w:t>
      </w:r>
      <w:r w:rsidRPr="007F5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 ćwiczeń jest:</w:t>
      </w:r>
    </w:p>
    <w:p w:rsidR="00CF010A" w:rsidRPr="007F5526" w:rsidRDefault="00CF010A" w:rsidP="00CF010A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526">
        <w:rPr>
          <w:rFonts w:ascii="Times New Roman" w:hAnsi="Times New Roman" w:cs="Times New Roman"/>
          <w:b/>
          <w:color w:val="auto"/>
          <w:sz w:val="24"/>
          <w:szCs w:val="24"/>
        </w:rPr>
        <w:t>Uczestnictwo w zajęciach</w:t>
      </w:r>
      <w:r w:rsidRPr="007F5526">
        <w:rPr>
          <w:rFonts w:ascii="Times New Roman" w:hAnsi="Times New Roman" w:cs="Times New Roman"/>
          <w:color w:val="auto"/>
          <w:sz w:val="24"/>
          <w:szCs w:val="24"/>
        </w:rPr>
        <w:t xml:space="preserve">. Student może opuścić maksymalnie dwukrotnie zajęcia Nieobecności podlegają konieczności usprawiedliwienia lub odrobienia w czasie konsultacji. Usprawiedliwienie nieobecności dokonywane jest pisemnie wyłącznie w przypadku zaistnienia </w:t>
      </w:r>
      <w:r w:rsidRPr="007F5526">
        <w:rPr>
          <w:rFonts w:ascii="Times New Roman" w:hAnsi="Times New Roman" w:cs="Times New Roman"/>
          <w:b/>
          <w:color w:val="auto"/>
          <w:sz w:val="24"/>
          <w:szCs w:val="24"/>
        </w:rPr>
        <w:t>ważnej</w:t>
      </w:r>
      <w:r w:rsidRPr="007F5526">
        <w:rPr>
          <w:rFonts w:ascii="Times New Roman" w:hAnsi="Times New Roman" w:cs="Times New Roman"/>
          <w:color w:val="auto"/>
          <w:sz w:val="24"/>
          <w:szCs w:val="24"/>
        </w:rPr>
        <w:t xml:space="preserve"> przyczyny i może podlegać weryfikacji. Odrobienie zajęć ma miejsce w czasie dwóch najbliższych terminów konsultacji od ustania przyczyny nieobecności. </w:t>
      </w:r>
      <w:r w:rsidR="00AB6119" w:rsidRPr="000D2F35">
        <w:rPr>
          <w:rFonts w:ascii="Times New Roman" w:hAnsi="Times New Roman" w:cs="Times New Roman"/>
          <w:sz w:val="24"/>
          <w:szCs w:val="24"/>
        </w:rPr>
        <w:t xml:space="preserve">Każdy brak przygotowania skutkuje nieobecnością na zajęciach, który należy zaliczyć w ciągu tygodnia. </w:t>
      </w:r>
    </w:p>
    <w:p w:rsidR="00CF010A" w:rsidRPr="007F5526" w:rsidRDefault="00CF010A" w:rsidP="00CF010A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Uzyskanie zaliczenia z dwóch kolokwiów, </w:t>
      </w:r>
      <w:r w:rsidRPr="007F5526">
        <w:rPr>
          <w:rFonts w:ascii="Times New Roman" w:hAnsi="Times New Roman" w:cs="Times New Roman"/>
          <w:color w:val="auto"/>
          <w:sz w:val="24"/>
          <w:szCs w:val="24"/>
        </w:rPr>
        <w:t xml:space="preserve">(w obu przypadkach warunkiem zaliczenia jest uzyskanie min. </w:t>
      </w:r>
      <w:r w:rsidR="002C4F3C">
        <w:rPr>
          <w:rFonts w:ascii="Times New Roman" w:hAnsi="Times New Roman" w:cs="Times New Roman"/>
          <w:color w:val="auto"/>
          <w:sz w:val="24"/>
          <w:szCs w:val="24"/>
        </w:rPr>
        <w:t>60</w:t>
      </w:r>
      <w:r w:rsidRPr="007F5526">
        <w:rPr>
          <w:rFonts w:ascii="Times New Roman" w:hAnsi="Times New Roman" w:cs="Times New Roman"/>
          <w:color w:val="auto"/>
          <w:sz w:val="24"/>
          <w:szCs w:val="24"/>
        </w:rPr>
        <w:t xml:space="preserve"> % punktów)</w:t>
      </w:r>
    </w:p>
    <w:p w:rsidR="00CF010A" w:rsidRDefault="00CF010A" w:rsidP="00CF010A">
      <w:pPr>
        <w:pStyle w:val="HTML-wstpniesformatowany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526">
        <w:rPr>
          <w:rFonts w:ascii="Times New Roman" w:hAnsi="Times New Roman" w:cs="Times New Roman"/>
          <w:b/>
          <w:color w:val="auto"/>
          <w:sz w:val="24"/>
          <w:szCs w:val="24"/>
        </w:rPr>
        <w:t>Warunki winny zostać spełnione kumulatywnie.</w:t>
      </w:r>
    </w:p>
    <w:p w:rsidR="00B47020" w:rsidRDefault="00B47020" w:rsidP="00CF010A">
      <w:pPr>
        <w:pStyle w:val="HTML-wstpniesformatowany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47020" w:rsidRPr="00B47020" w:rsidRDefault="00B47020" w:rsidP="00AB6119">
      <w:pPr>
        <w:spacing w:line="360" w:lineRule="auto"/>
      </w:pPr>
    </w:p>
    <w:p w:rsidR="00A96378" w:rsidRPr="00B47020" w:rsidRDefault="00A96378" w:rsidP="009F6D79">
      <w:pPr>
        <w:pStyle w:val="Nagwek1"/>
        <w:rPr>
          <w:lang w:val="pl-PL"/>
        </w:rPr>
      </w:pPr>
    </w:p>
    <w:sectPr w:rsidR="00A96378" w:rsidRPr="00B47020">
      <w:footerReference w:type="default" r:id="rId14"/>
      <w:pgSz w:w="11906" w:h="16838"/>
      <w:pgMar w:top="1418" w:right="1418" w:bottom="119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06" w:rsidRDefault="00986D06">
      <w:r>
        <w:separator/>
      </w:r>
    </w:p>
  </w:endnote>
  <w:endnote w:type="continuationSeparator" w:id="0">
    <w:p w:rsidR="00986D06" w:rsidRDefault="009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8F" w:rsidRDefault="002A3B8F">
    <w:pPr>
      <w:pStyle w:val="Stopka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3660" cy="172085"/>
              <wp:effectExtent l="1270" t="635" r="127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8F" w:rsidRDefault="002A3B8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E376D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" stroked="f">
              <v:fill opacity="0"/>
              <v:textbox inset="0,0,0,0">
                <w:txbxContent>
                  <w:p w:rsidR="002A3B8F" w:rsidRDefault="002A3B8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E376D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06" w:rsidRDefault="00986D06">
      <w:r>
        <w:separator/>
      </w:r>
    </w:p>
  </w:footnote>
  <w:footnote w:type="continuationSeparator" w:id="0">
    <w:p w:rsidR="00986D06" w:rsidRDefault="0098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907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BB95951"/>
    <w:multiLevelType w:val="hybridMultilevel"/>
    <w:tmpl w:val="C49AF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7042"/>
    <w:multiLevelType w:val="hybridMultilevel"/>
    <w:tmpl w:val="F1A2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758"/>
    <w:multiLevelType w:val="hybridMultilevel"/>
    <w:tmpl w:val="7E82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2CFB"/>
    <w:multiLevelType w:val="hybridMultilevel"/>
    <w:tmpl w:val="EB06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2942"/>
    <w:multiLevelType w:val="multilevel"/>
    <w:tmpl w:val="0B227B3C"/>
    <w:lvl w:ilvl="0">
      <w:start w:val="16"/>
      <w:numFmt w:val="decimal"/>
      <w:lvlText w:val="%1"/>
      <w:lvlJc w:val="left"/>
      <w:pPr>
        <w:ind w:left="1080" w:hanging="1080"/>
      </w:pPr>
    </w:lvl>
    <w:lvl w:ilvl="1">
      <w:start w:val="11"/>
      <w:numFmt w:val="decimal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506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7A278EE"/>
    <w:multiLevelType w:val="hybridMultilevel"/>
    <w:tmpl w:val="6CF2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08"/>
    <w:rsid w:val="000630BB"/>
    <w:rsid w:val="000B066F"/>
    <w:rsid w:val="000E376D"/>
    <w:rsid w:val="000F3EA9"/>
    <w:rsid w:val="00153977"/>
    <w:rsid w:val="00220EC5"/>
    <w:rsid w:val="00266517"/>
    <w:rsid w:val="002A3B8F"/>
    <w:rsid w:val="002C4F3C"/>
    <w:rsid w:val="002C6C60"/>
    <w:rsid w:val="002F5292"/>
    <w:rsid w:val="00531F26"/>
    <w:rsid w:val="00586D83"/>
    <w:rsid w:val="005B728A"/>
    <w:rsid w:val="0063222E"/>
    <w:rsid w:val="00634A69"/>
    <w:rsid w:val="00644A48"/>
    <w:rsid w:val="00676144"/>
    <w:rsid w:val="00737965"/>
    <w:rsid w:val="007E0CF3"/>
    <w:rsid w:val="007E3FA6"/>
    <w:rsid w:val="0084140F"/>
    <w:rsid w:val="0084578D"/>
    <w:rsid w:val="008F76A0"/>
    <w:rsid w:val="009377E0"/>
    <w:rsid w:val="00957254"/>
    <w:rsid w:val="00986D06"/>
    <w:rsid w:val="00991214"/>
    <w:rsid w:val="009C5911"/>
    <w:rsid w:val="009F6D79"/>
    <w:rsid w:val="00A96378"/>
    <w:rsid w:val="00AB2F2D"/>
    <w:rsid w:val="00AB6119"/>
    <w:rsid w:val="00AC4121"/>
    <w:rsid w:val="00AE3188"/>
    <w:rsid w:val="00AF34C8"/>
    <w:rsid w:val="00B47020"/>
    <w:rsid w:val="00B86F9E"/>
    <w:rsid w:val="00CF010A"/>
    <w:rsid w:val="00D21AD4"/>
    <w:rsid w:val="00E10468"/>
    <w:rsid w:val="00E340F1"/>
    <w:rsid w:val="00E45708"/>
    <w:rsid w:val="00EE08A6"/>
    <w:rsid w:val="00EE4E0C"/>
    <w:rsid w:val="00F84C6E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D0AFCA-63A4-4D6D-8788-6BFBF8F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5708"/>
    <w:pPr>
      <w:keepNext/>
      <w:numPr>
        <w:numId w:val="1"/>
      </w:numPr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0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ipercze">
    <w:name w:val="Hyperlink"/>
    <w:rsid w:val="00CF010A"/>
    <w:rPr>
      <w:color w:val="0000FF"/>
      <w:u w:val="single"/>
    </w:rPr>
  </w:style>
  <w:style w:type="character" w:styleId="Numerstrony">
    <w:name w:val="page number"/>
    <w:basedOn w:val="Domylnaczcionkaakapitu"/>
    <w:rsid w:val="00CF010A"/>
  </w:style>
  <w:style w:type="paragraph" w:styleId="HTML-wstpniesformatowany">
    <w:name w:val="HTML Preformatted"/>
    <w:basedOn w:val="Normalny"/>
    <w:link w:val="HTML-wstpniesformatowanyZnak"/>
    <w:rsid w:val="00CF0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F010A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F010A"/>
    <w:pPr>
      <w:tabs>
        <w:tab w:val="center" w:pos="4536"/>
        <w:tab w:val="right" w:pos="9072"/>
      </w:tabs>
    </w:pPr>
    <w:rPr>
      <w:rFonts w:eastAsia="SimSun"/>
      <w:lang w:val="en-GB"/>
    </w:rPr>
  </w:style>
  <w:style w:type="character" w:customStyle="1" w:styleId="StopkaZnak">
    <w:name w:val="Stopka Znak"/>
    <w:basedOn w:val="Domylnaczcionkaakapitu"/>
    <w:link w:val="Stopka"/>
    <w:rsid w:val="00CF010A"/>
    <w:rPr>
      <w:rFonts w:ascii="Times New Roman" w:eastAsia="SimSun" w:hAnsi="Times New Roman" w:cs="Times New Roman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AB611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8F76A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E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ny"/>
    <w:rsid w:val="00AB2F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4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23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6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1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-lex.pl/" TargetMode="External"/><Relationship Id="rId13" Type="http://schemas.openxmlformats.org/officeDocument/2006/relationships/hyperlink" Target="https://www.consilium.europa.eu/pl/european-counc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ria.europa.eu/" TargetMode="External"/><Relationship Id="rId12" Type="http://schemas.openxmlformats.org/officeDocument/2006/relationships/hyperlink" Target="https://www.consilium.europa.eu/pl/council-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arl.europa.eu/infographic/legislative-procedure/index_p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opa.eu/european-union/about-eu/institutions-bodies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rl.europa.eu/factsheets/pl/chapter/209/system-funkcjonowania-unii-europejski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KPUE</dc:creator>
  <cp:lastModifiedBy>aparol</cp:lastModifiedBy>
  <cp:revision>2</cp:revision>
  <cp:lastPrinted>2021-10-07T06:32:00Z</cp:lastPrinted>
  <dcterms:created xsi:type="dcterms:W3CDTF">2023-02-22T20:59:00Z</dcterms:created>
  <dcterms:modified xsi:type="dcterms:W3CDTF">2023-02-22T20:59:00Z</dcterms:modified>
</cp:coreProperties>
</file>